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838" w:val="left" w:leader="none"/>
          <w:tab w:pos="7193" w:val="left" w:leader="none"/>
        </w:tabs>
        <w:spacing w:line="240" w:lineRule="auto"/>
        <w:ind w:left="1316" w:right="0" w:firstLine="0"/>
        <w:jc w:val="left"/>
        <w:rPr>
          <w:rFonts w:ascii="Times New Roman"/>
          <w:position w:val="40"/>
          <w:sz w:val="20"/>
        </w:rPr>
      </w:pPr>
      <w:r>
        <w:rPr>
          <w:rFonts w:ascii="Times New Roman"/>
          <w:sz w:val="20"/>
        </w:rPr>
        <w:drawing>
          <wp:inline distT="0" distB="0" distL="0" distR="0">
            <wp:extent cx="533789" cy="6572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3789" cy="657225"/>
                    </a:xfrm>
                    <a:prstGeom prst="rect">
                      <a:avLst/>
                    </a:prstGeom>
                  </pic:spPr>
                </pic:pic>
              </a:graphicData>
            </a:graphic>
          </wp:inline>
        </w:drawing>
      </w:r>
      <w:r>
        <w:rPr>
          <w:rFonts w:ascii="Times New Roman"/>
          <w:sz w:val="20"/>
        </w:rPr>
      </w:r>
      <w:r>
        <w:rPr>
          <w:rFonts w:ascii="Times New Roman"/>
          <w:sz w:val="20"/>
        </w:rPr>
        <w:tab/>
      </w:r>
      <w:r>
        <w:rPr>
          <w:rFonts w:ascii="Times New Roman"/>
          <w:position w:val="15"/>
          <w:sz w:val="20"/>
        </w:rPr>
        <w:drawing>
          <wp:inline distT="0" distB="0" distL="0" distR="0">
            <wp:extent cx="1642903" cy="52016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42903" cy="520160"/>
                    </a:xfrm>
                    <a:prstGeom prst="rect">
                      <a:avLst/>
                    </a:prstGeom>
                  </pic:spPr>
                </pic:pic>
              </a:graphicData>
            </a:graphic>
          </wp:inline>
        </w:drawing>
      </w:r>
      <w:r>
        <w:rPr>
          <w:rFonts w:ascii="Times New Roman"/>
          <w:position w:val="15"/>
          <w:sz w:val="20"/>
        </w:rPr>
      </w:r>
      <w:r>
        <w:rPr>
          <w:rFonts w:ascii="Times New Roman"/>
          <w:position w:val="15"/>
          <w:sz w:val="20"/>
        </w:rPr>
        <w:tab/>
      </w:r>
      <w:r>
        <w:rPr>
          <w:rFonts w:ascii="Times New Roman"/>
          <w:position w:val="40"/>
          <w:sz w:val="20"/>
        </w:rPr>
        <w:drawing>
          <wp:inline distT="0" distB="0" distL="0" distR="0">
            <wp:extent cx="1597910" cy="508253"/>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597910" cy="508253"/>
                    </a:xfrm>
                    <a:prstGeom prst="rect">
                      <a:avLst/>
                    </a:prstGeom>
                  </pic:spPr>
                </pic:pic>
              </a:graphicData>
            </a:graphic>
          </wp:inline>
        </w:drawing>
      </w:r>
      <w:r>
        <w:rPr>
          <w:rFonts w:ascii="Times New Roman"/>
          <w:position w:val="40"/>
          <w:sz w:val="20"/>
        </w:rPr>
      </w:r>
    </w:p>
    <w:p>
      <w:pPr>
        <w:spacing w:before="155"/>
        <w:ind w:left="1300" w:right="6994" w:firstLine="67"/>
        <w:jc w:val="left"/>
        <w:rPr>
          <w:rFonts w:ascii="Georgia"/>
          <w:b/>
          <w:sz w:val="16"/>
        </w:rPr>
      </w:pPr>
      <w:r>
        <w:rPr>
          <w:rFonts w:ascii="Georgia"/>
          <w:b/>
          <w:color w:val="145F81"/>
          <w:spacing w:val="-2"/>
          <w:sz w:val="16"/>
        </w:rPr>
        <w:t>Regione</w:t>
      </w:r>
      <w:r>
        <w:rPr>
          <w:rFonts w:ascii="Georgia"/>
          <w:b/>
          <w:color w:val="145F81"/>
          <w:sz w:val="16"/>
        </w:rPr>
        <w:t> </w:t>
      </w:r>
      <w:r>
        <w:rPr>
          <w:rFonts w:ascii="Georgia"/>
          <w:b/>
          <w:color w:val="145F81"/>
          <w:spacing w:val="-2"/>
          <w:sz w:val="16"/>
        </w:rPr>
        <w:t>Basilicata</w:t>
      </w:r>
    </w:p>
    <w:p>
      <w:pPr>
        <w:pStyle w:val="BodyText"/>
        <w:spacing w:before="91"/>
        <w:jc w:val="left"/>
        <w:rPr>
          <w:rFonts w:ascii="Georgia"/>
          <w:b/>
          <w:sz w:val="22"/>
        </w:rPr>
      </w:pPr>
    </w:p>
    <w:p>
      <w:pPr>
        <w:spacing w:before="0"/>
        <w:ind w:left="7947" w:right="0" w:firstLine="0"/>
        <w:jc w:val="center"/>
        <w:rPr>
          <w:b/>
          <w:sz w:val="22"/>
        </w:rPr>
      </w:pPr>
      <w:bookmarkStart w:name="ALLEGATO “D”" w:id="1"/>
      <w:bookmarkEnd w:id="1"/>
      <w:r>
        <w:rPr/>
      </w:r>
      <w:r>
        <w:rPr>
          <w:b/>
          <w:sz w:val="22"/>
        </w:rPr>
        <w:t>ALLEGATO</w:t>
      </w:r>
      <w:r>
        <w:rPr>
          <w:b/>
          <w:spacing w:val="-1"/>
          <w:sz w:val="22"/>
        </w:rPr>
        <w:t> </w:t>
      </w:r>
      <w:r>
        <w:rPr>
          <w:b/>
          <w:spacing w:val="-5"/>
          <w:sz w:val="22"/>
        </w:rPr>
        <w:t>“D”</w:t>
      </w:r>
    </w:p>
    <w:p>
      <w:pPr>
        <w:spacing w:before="1"/>
        <w:ind w:left="3" w:right="133" w:firstLine="0"/>
        <w:jc w:val="center"/>
        <w:rPr>
          <w:b/>
          <w:sz w:val="22"/>
        </w:rPr>
      </w:pPr>
      <w:r>
        <w:rPr>
          <w:b/>
          <w:sz w:val="22"/>
        </w:rPr>
        <w:t>SCHEMA</w:t>
      </w:r>
      <w:r>
        <w:rPr>
          <w:b/>
          <w:spacing w:val="-3"/>
          <w:sz w:val="22"/>
        </w:rPr>
        <w:t> </w:t>
      </w:r>
      <w:r>
        <w:rPr>
          <w:b/>
          <w:sz w:val="22"/>
        </w:rPr>
        <w:t>DI</w:t>
      </w:r>
      <w:r>
        <w:rPr>
          <w:b/>
          <w:spacing w:val="-3"/>
          <w:sz w:val="22"/>
        </w:rPr>
        <w:t> </w:t>
      </w:r>
      <w:r>
        <w:rPr>
          <w:b/>
          <w:sz w:val="22"/>
        </w:rPr>
        <w:t>PATTO</w:t>
      </w:r>
      <w:r>
        <w:rPr>
          <w:b/>
          <w:spacing w:val="-3"/>
          <w:sz w:val="22"/>
        </w:rPr>
        <w:t> </w:t>
      </w:r>
      <w:r>
        <w:rPr>
          <w:b/>
          <w:spacing w:val="-2"/>
          <w:sz w:val="22"/>
        </w:rPr>
        <w:t>D’INTEGRITÀ</w:t>
      </w:r>
    </w:p>
    <w:p>
      <w:pPr>
        <w:spacing w:before="0"/>
        <w:ind w:left="224" w:right="358" w:firstLine="0"/>
        <w:jc w:val="center"/>
        <w:rPr>
          <w:b/>
          <w:sz w:val="22"/>
        </w:rPr>
      </w:pPr>
      <w:r>
        <w:rPr>
          <w:b/>
          <w:sz w:val="22"/>
        </w:rPr>
        <w:t>ex</w:t>
      </w:r>
      <w:r>
        <w:rPr>
          <w:b/>
          <w:spacing w:val="-4"/>
          <w:sz w:val="22"/>
        </w:rPr>
        <w:t> </w:t>
      </w:r>
      <w:r>
        <w:rPr>
          <w:b/>
          <w:sz w:val="22"/>
        </w:rPr>
        <w:t>art.</w:t>
      </w:r>
      <w:r>
        <w:rPr>
          <w:b/>
          <w:spacing w:val="-3"/>
          <w:sz w:val="22"/>
        </w:rPr>
        <w:t> </w:t>
      </w:r>
      <w:r>
        <w:rPr>
          <w:b/>
          <w:sz w:val="22"/>
        </w:rPr>
        <w:t>1,</w:t>
      </w:r>
      <w:r>
        <w:rPr>
          <w:b/>
          <w:spacing w:val="-3"/>
          <w:sz w:val="22"/>
        </w:rPr>
        <w:t> </w:t>
      </w:r>
      <w:r>
        <w:rPr>
          <w:b/>
          <w:sz w:val="22"/>
        </w:rPr>
        <w:t>comma</w:t>
      </w:r>
      <w:r>
        <w:rPr>
          <w:b/>
          <w:spacing w:val="-4"/>
          <w:sz w:val="22"/>
        </w:rPr>
        <w:t> </w:t>
      </w:r>
      <w:r>
        <w:rPr>
          <w:b/>
          <w:sz w:val="22"/>
        </w:rPr>
        <w:t>17,</w:t>
      </w:r>
      <w:r>
        <w:rPr>
          <w:b/>
          <w:spacing w:val="-3"/>
          <w:sz w:val="22"/>
        </w:rPr>
        <w:t> </w:t>
      </w:r>
      <w:r>
        <w:rPr>
          <w:b/>
          <w:sz w:val="22"/>
        </w:rPr>
        <w:t>della</w:t>
      </w:r>
      <w:r>
        <w:rPr>
          <w:b/>
          <w:spacing w:val="-3"/>
          <w:sz w:val="22"/>
        </w:rPr>
        <w:t> </w:t>
      </w:r>
      <w:r>
        <w:rPr>
          <w:b/>
          <w:sz w:val="22"/>
        </w:rPr>
        <w:t>L.</w:t>
      </w:r>
      <w:r>
        <w:rPr>
          <w:b/>
          <w:spacing w:val="-3"/>
          <w:sz w:val="22"/>
        </w:rPr>
        <w:t> </w:t>
      </w:r>
      <w:r>
        <w:rPr>
          <w:b/>
          <w:spacing w:val="-2"/>
          <w:sz w:val="22"/>
        </w:rPr>
        <w:t>190/2012</w:t>
      </w:r>
    </w:p>
    <w:p>
      <w:pPr>
        <w:pStyle w:val="BodyText"/>
        <w:spacing w:before="23"/>
        <w:jc w:val="left"/>
        <w:rPr>
          <w:b/>
          <w:sz w:val="20"/>
        </w:rPr>
      </w:pPr>
    </w:p>
    <w:p>
      <w:pPr>
        <w:spacing w:before="0"/>
        <w:ind w:left="224" w:right="362" w:firstLine="0"/>
        <w:jc w:val="center"/>
        <w:rPr>
          <w:sz w:val="20"/>
        </w:rPr>
      </w:pPr>
      <w:r>
        <w:rPr>
          <w:sz w:val="20"/>
        </w:rPr>
        <w:t>Relativo</w:t>
      </w:r>
      <w:r>
        <w:rPr>
          <w:spacing w:val="-5"/>
          <w:sz w:val="20"/>
        </w:rPr>
        <w:t> </w:t>
      </w:r>
      <w:r>
        <w:rPr>
          <w:sz w:val="20"/>
        </w:rPr>
        <w:t>all’</w:t>
      </w:r>
      <w:r>
        <w:rPr>
          <w:b/>
          <w:sz w:val="20"/>
        </w:rPr>
        <w:t>Avviso</w:t>
      </w:r>
      <w:r>
        <w:rPr>
          <w:b/>
          <w:spacing w:val="-5"/>
          <w:sz w:val="20"/>
        </w:rPr>
        <w:t> </w:t>
      </w:r>
      <w:r>
        <w:rPr>
          <w:b/>
          <w:sz w:val="20"/>
        </w:rPr>
        <w:t>Pubblico </w:t>
      </w:r>
      <w:r>
        <w:rPr>
          <w:sz w:val="20"/>
        </w:rPr>
        <w:t>“</w:t>
      </w:r>
      <w:r>
        <w:rPr>
          <w:b/>
          <w:sz w:val="20"/>
        </w:rPr>
        <w:t>Festival</w:t>
      </w:r>
      <w:r>
        <w:rPr>
          <w:b/>
          <w:spacing w:val="-5"/>
          <w:sz w:val="20"/>
        </w:rPr>
        <w:t> </w:t>
      </w:r>
      <w:r>
        <w:rPr>
          <w:b/>
          <w:sz w:val="20"/>
        </w:rPr>
        <w:t>e</w:t>
      </w:r>
      <w:r>
        <w:rPr>
          <w:b/>
          <w:spacing w:val="-5"/>
          <w:sz w:val="20"/>
        </w:rPr>
        <w:t> </w:t>
      </w:r>
      <w:r>
        <w:rPr>
          <w:b/>
          <w:sz w:val="20"/>
        </w:rPr>
        <w:t>Rassegne</w:t>
      </w:r>
      <w:r>
        <w:rPr>
          <w:b/>
          <w:spacing w:val="-5"/>
          <w:sz w:val="20"/>
        </w:rPr>
        <w:t> </w:t>
      </w:r>
      <w:r>
        <w:rPr>
          <w:b/>
          <w:sz w:val="20"/>
        </w:rPr>
        <w:t>Cinematografiche</w:t>
      </w:r>
      <w:r>
        <w:rPr>
          <w:b/>
          <w:spacing w:val="-5"/>
          <w:sz w:val="20"/>
        </w:rPr>
        <w:t> </w:t>
      </w:r>
      <w:r>
        <w:rPr>
          <w:b/>
          <w:sz w:val="20"/>
        </w:rPr>
        <w:t>2024” </w:t>
      </w:r>
      <w:r>
        <w:rPr>
          <w:sz w:val="20"/>
        </w:rPr>
        <w:t>per</w:t>
      </w:r>
      <w:r>
        <w:rPr>
          <w:spacing w:val="-5"/>
          <w:sz w:val="20"/>
        </w:rPr>
        <w:t> </w:t>
      </w:r>
      <w:r>
        <w:rPr>
          <w:sz w:val="20"/>
        </w:rPr>
        <w:t>la</w:t>
      </w:r>
      <w:r>
        <w:rPr>
          <w:spacing w:val="-5"/>
          <w:sz w:val="20"/>
        </w:rPr>
        <w:t> </w:t>
      </w:r>
      <w:r>
        <w:rPr>
          <w:sz w:val="20"/>
        </w:rPr>
        <w:t>concessione</w:t>
      </w:r>
      <w:r>
        <w:rPr>
          <w:spacing w:val="-5"/>
          <w:sz w:val="20"/>
        </w:rPr>
        <w:t> </w:t>
      </w:r>
      <w:r>
        <w:rPr>
          <w:sz w:val="20"/>
        </w:rPr>
        <w:t>dei contributi a favore degli operatori dei Festival e Rassegne Cinematografiche Anno 2024.</w:t>
      </w:r>
    </w:p>
    <w:p>
      <w:pPr>
        <w:spacing w:before="217"/>
        <w:ind w:left="224" w:right="0" w:firstLine="0"/>
        <w:jc w:val="center"/>
        <w:rPr>
          <w:b/>
          <w:sz w:val="22"/>
        </w:rPr>
      </w:pPr>
      <w:bookmarkStart w:name="Articolo 1" w:id="2"/>
      <w:bookmarkEnd w:id="2"/>
      <w:r>
        <w:rPr/>
      </w:r>
      <w:r>
        <w:rPr>
          <w:b/>
          <w:sz w:val="22"/>
        </w:rPr>
        <w:t>Articolo</w:t>
      </w:r>
      <w:r>
        <w:rPr>
          <w:b/>
          <w:spacing w:val="-8"/>
          <w:sz w:val="22"/>
        </w:rPr>
        <w:t> </w:t>
      </w:r>
      <w:r>
        <w:rPr>
          <w:b/>
          <w:spacing w:val="-10"/>
          <w:sz w:val="22"/>
        </w:rPr>
        <w:t>1</w:t>
      </w:r>
    </w:p>
    <w:p>
      <w:pPr>
        <w:pStyle w:val="BodyText"/>
        <w:spacing w:before="265"/>
        <w:ind w:left="1" w:right="154"/>
      </w:pPr>
      <w:r>
        <w:rPr/>
        <w:t>Il presente Patto d’Integrità stabilisce la formale obbligazione del concessionario, ai fini della partecipazione all’Avviso Pubblico in oggetto, e la stessa si impegna a:</w:t>
      </w:r>
    </w:p>
    <w:p>
      <w:pPr>
        <w:pStyle w:val="ListParagraph"/>
        <w:numPr>
          <w:ilvl w:val="0"/>
          <w:numId w:val="1"/>
        </w:numPr>
        <w:tabs>
          <w:tab w:pos="359" w:val="left" w:leader="none"/>
          <w:tab w:pos="361" w:val="left" w:leader="none"/>
        </w:tabs>
        <w:spacing w:line="240" w:lineRule="auto" w:before="0" w:after="0"/>
        <w:ind w:left="361" w:right="147" w:hanging="360"/>
        <w:jc w:val="both"/>
        <w:rPr>
          <w:sz w:val="18"/>
        </w:rPr>
      </w:pPr>
      <w:r>
        <w:rPr>
          <w:sz w:val="18"/>
        </w:rPr>
        <w:t>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w:t>
      </w:r>
    </w:p>
    <w:p>
      <w:pPr>
        <w:pStyle w:val="ListParagraph"/>
        <w:numPr>
          <w:ilvl w:val="0"/>
          <w:numId w:val="1"/>
        </w:numPr>
        <w:tabs>
          <w:tab w:pos="359" w:val="left" w:leader="none"/>
          <w:tab w:pos="361" w:val="left" w:leader="none"/>
        </w:tabs>
        <w:spacing w:line="240" w:lineRule="auto" w:before="0" w:after="0"/>
        <w:ind w:left="361" w:right="142" w:hanging="360"/>
        <w:jc w:val="both"/>
        <w:rPr>
          <w:sz w:val="18"/>
        </w:rPr>
      </w:pPr>
      <w:r>
        <w:rPr>
          <w:sz w:val="18"/>
        </w:rPr>
        <w:t>segnalare alla stazione appaltante qualsiasi tentativo di turbativa, irregolarità o distorsione nelle fasi di svolgimento del bando e/o durante l’esecuzione dei servizi offerti da parte di ogni interessato o addetto o chiunque possa influenzare le decisioni relative alla gara in oggetto;</w:t>
      </w:r>
    </w:p>
    <w:p>
      <w:pPr>
        <w:pStyle w:val="ListParagraph"/>
        <w:numPr>
          <w:ilvl w:val="0"/>
          <w:numId w:val="1"/>
        </w:numPr>
        <w:tabs>
          <w:tab w:pos="359" w:val="left" w:leader="none"/>
          <w:tab w:pos="361" w:val="left" w:leader="none"/>
        </w:tabs>
        <w:spacing w:line="240" w:lineRule="auto" w:before="0" w:after="0"/>
        <w:ind w:left="361" w:right="146" w:hanging="360"/>
        <w:jc w:val="both"/>
        <w:rPr>
          <w:sz w:val="18"/>
        </w:rPr>
      </w:pPr>
      <w:r>
        <w:rPr>
          <w:sz w:val="18"/>
        </w:rPr>
        <w:t>segnalare al Responsabile Unico di Procedimento qualsiasi illecita richiesta o pretesa o di chiunque altro possa influenzare le decisioni relative alla concessione del contributo;</w:t>
      </w:r>
    </w:p>
    <w:p>
      <w:pPr>
        <w:pStyle w:val="ListParagraph"/>
        <w:numPr>
          <w:ilvl w:val="0"/>
          <w:numId w:val="1"/>
        </w:numPr>
        <w:tabs>
          <w:tab w:pos="359" w:val="left" w:leader="none"/>
          <w:tab w:pos="361" w:val="left" w:leader="none"/>
        </w:tabs>
        <w:spacing w:line="240" w:lineRule="auto" w:before="0" w:after="0"/>
        <w:ind w:left="361" w:right="150" w:hanging="360"/>
        <w:jc w:val="both"/>
        <w:rPr>
          <w:sz w:val="18"/>
        </w:rPr>
      </w:pPr>
      <w:r>
        <w:rPr>
          <w:sz w:val="18"/>
        </w:rPr>
        <w:t>assicurare di non trovarsi in situazioni di controllo o di collegamento (formale e/o sostanziale) con altri concorrenti e che non si è accordata e non si accorderà con altri partecipanti alla procedura di gara;</w:t>
      </w:r>
    </w:p>
    <w:p>
      <w:pPr>
        <w:pStyle w:val="ListParagraph"/>
        <w:numPr>
          <w:ilvl w:val="0"/>
          <w:numId w:val="1"/>
        </w:numPr>
        <w:tabs>
          <w:tab w:pos="359" w:val="left" w:leader="none"/>
          <w:tab w:pos="361" w:val="left" w:leader="none"/>
        </w:tabs>
        <w:spacing w:line="240" w:lineRule="auto" w:before="2" w:after="0"/>
        <w:ind w:left="361" w:right="145" w:hanging="360"/>
        <w:jc w:val="both"/>
        <w:rPr>
          <w:sz w:val="18"/>
        </w:rPr>
      </w:pPr>
      <w:r>
        <w:rPr>
          <w:sz w:val="18"/>
        </w:rPr>
        <w:t>informare puntualmente tutto il personale di cui si avvale, del presente Patto d’integrità e degli obblighi in esso </w:t>
      </w:r>
      <w:r>
        <w:rPr>
          <w:spacing w:val="-2"/>
          <w:sz w:val="18"/>
        </w:rPr>
        <w:t>contenuti;</w:t>
      </w:r>
    </w:p>
    <w:p>
      <w:pPr>
        <w:pStyle w:val="ListParagraph"/>
        <w:numPr>
          <w:ilvl w:val="0"/>
          <w:numId w:val="1"/>
        </w:numPr>
        <w:tabs>
          <w:tab w:pos="359" w:val="left" w:leader="none"/>
          <w:tab w:pos="361" w:val="left" w:leader="none"/>
        </w:tabs>
        <w:spacing w:line="240" w:lineRule="auto" w:before="0" w:after="0"/>
        <w:ind w:left="361" w:right="147" w:hanging="360"/>
        <w:jc w:val="both"/>
        <w:rPr>
          <w:sz w:val="18"/>
        </w:rPr>
      </w:pPr>
      <w:r>
        <w:rPr>
          <w:sz w:val="18"/>
        </w:rPr>
        <w:t>vigilare</w:t>
      </w:r>
      <w:r>
        <w:rPr>
          <w:spacing w:val="-3"/>
          <w:sz w:val="18"/>
        </w:rPr>
        <w:t> </w:t>
      </w:r>
      <w:r>
        <w:rPr>
          <w:sz w:val="18"/>
        </w:rPr>
        <w:t>affinché</w:t>
      </w:r>
      <w:r>
        <w:rPr>
          <w:spacing w:val="-3"/>
          <w:sz w:val="18"/>
        </w:rPr>
        <w:t> </w:t>
      </w:r>
      <w:r>
        <w:rPr>
          <w:sz w:val="18"/>
        </w:rPr>
        <w:t>gli</w:t>
      </w:r>
      <w:r>
        <w:rPr>
          <w:spacing w:val="-3"/>
          <w:sz w:val="18"/>
        </w:rPr>
        <w:t> </w:t>
      </w:r>
      <w:r>
        <w:rPr>
          <w:sz w:val="18"/>
        </w:rPr>
        <w:t>impegni</w:t>
      </w:r>
      <w:r>
        <w:rPr>
          <w:spacing w:val="-3"/>
          <w:sz w:val="18"/>
        </w:rPr>
        <w:t> </w:t>
      </w:r>
      <w:r>
        <w:rPr>
          <w:sz w:val="18"/>
        </w:rPr>
        <w:t>sopra</w:t>
      </w:r>
      <w:r>
        <w:rPr>
          <w:spacing w:val="-3"/>
          <w:sz w:val="18"/>
        </w:rPr>
        <w:t> </w:t>
      </w:r>
      <w:r>
        <w:rPr>
          <w:sz w:val="18"/>
        </w:rPr>
        <w:t>indicati</w:t>
      </w:r>
      <w:r>
        <w:rPr>
          <w:spacing w:val="-3"/>
          <w:sz w:val="18"/>
        </w:rPr>
        <w:t> </w:t>
      </w:r>
      <w:r>
        <w:rPr>
          <w:sz w:val="18"/>
        </w:rPr>
        <w:t>siano</w:t>
      </w:r>
      <w:r>
        <w:rPr>
          <w:spacing w:val="-3"/>
          <w:sz w:val="18"/>
        </w:rPr>
        <w:t> </w:t>
      </w:r>
      <w:r>
        <w:rPr>
          <w:sz w:val="18"/>
        </w:rPr>
        <w:t>osservati</w:t>
      </w:r>
      <w:r>
        <w:rPr>
          <w:spacing w:val="-3"/>
          <w:sz w:val="18"/>
        </w:rPr>
        <w:t> </w:t>
      </w:r>
      <w:r>
        <w:rPr>
          <w:sz w:val="18"/>
        </w:rPr>
        <w:t>da</w:t>
      </w:r>
      <w:r>
        <w:rPr>
          <w:spacing w:val="-3"/>
          <w:sz w:val="18"/>
        </w:rPr>
        <w:t> </w:t>
      </w:r>
      <w:r>
        <w:rPr>
          <w:sz w:val="18"/>
        </w:rPr>
        <w:t>tutti</w:t>
      </w:r>
      <w:r>
        <w:rPr>
          <w:spacing w:val="-3"/>
          <w:sz w:val="18"/>
        </w:rPr>
        <w:t> </w:t>
      </w:r>
      <w:r>
        <w:rPr>
          <w:sz w:val="18"/>
        </w:rPr>
        <w:t>i</w:t>
      </w:r>
      <w:r>
        <w:rPr>
          <w:spacing w:val="-3"/>
          <w:sz w:val="18"/>
        </w:rPr>
        <w:t> </w:t>
      </w:r>
      <w:r>
        <w:rPr>
          <w:sz w:val="18"/>
        </w:rPr>
        <w:t>collaboratori</w:t>
      </w:r>
      <w:r>
        <w:rPr>
          <w:spacing w:val="-3"/>
          <w:sz w:val="18"/>
        </w:rPr>
        <w:t> </w:t>
      </w:r>
      <w:r>
        <w:rPr>
          <w:sz w:val="18"/>
        </w:rPr>
        <w:t>e</w:t>
      </w:r>
      <w:r>
        <w:rPr>
          <w:spacing w:val="-3"/>
          <w:sz w:val="18"/>
        </w:rPr>
        <w:t> </w:t>
      </w:r>
      <w:r>
        <w:rPr>
          <w:sz w:val="18"/>
        </w:rPr>
        <w:t>dipendenti</w:t>
      </w:r>
      <w:r>
        <w:rPr>
          <w:spacing w:val="-3"/>
          <w:sz w:val="18"/>
        </w:rPr>
        <w:t> </w:t>
      </w:r>
      <w:r>
        <w:rPr>
          <w:sz w:val="18"/>
        </w:rPr>
        <w:t>nell’esercizio</w:t>
      </w:r>
      <w:r>
        <w:rPr>
          <w:spacing w:val="-3"/>
          <w:sz w:val="18"/>
        </w:rPr>
        <w:t> </w:t>
      </w:r>
      <w:r>
        <w:rPr>
          <w:sz w:val="18"/>
        </w:rPr>
        <w:t>dei</w:t>
      </w:r>
      <w:r>
        <w:rPr>
          <w:spacing w:val="-3"/>
          <w:sz w:val="18"/>
        </w:rPr>
        <w:t> </w:t>
      </w:r>
      <w:r>
        <w:rPr>
          <w:sz w:val="18"/>
        </w:rPr>
        <w:t>compiti loro assegnati;</w:t>
      </w:r>
    </w:p>
    <w:p>
      <w:pPr>
        <w:pStyle w:val="ListParagraph"/>
        <w:numPr>
          <w:ilvl w:val="0"/>
          <w:numId w:val="1"/>
        </w:numPr>
        <w:tabs>
          <w:tab w:pos="359" w:val="left" w:leader="none"/>
          <w:tab w:pos="361" w:val="left" w:leader="none"/>
        </w:tabs>
        <w:spacing w:line="240" w:lineRule="auto" w:before="3" w:after="0"/>
        <w:ind w:left="361" w:right="142" w:hanging="360"/>
        <w:jc w:val="both"/>
        <w:rPr>
          <w:sz w:val="18"/>
        </w:rPr>
      </w:pPr>
      <w:r>
        <w:rPr>
          <w:sz w:val="18"/>
        </w:rPr>
        <w:t>denunciare alla Pubblica Autorità competente ogni irregolarità o distorsione di cui sia venuta a conoscenza per quanto attiene l’attività di cui all’oggetto della procedura in parola.</w:t>
      </w:r>
    </w:p>
    <w:p>
      <w:pPr>
        <w:pStyle w:val="BodyText"/>
        <w:jc w:val="left"/>
      </w:pPr>
    </w:p>
    <w:p>
      <w:pPr>
        <w:spacing w:before="0"/>
        <w:ind w:left="0" w:right="133" w:firstLine="0"/>
        <w:jc w:val="center"/>
        <w:rPr>
          <w:b/>
          <w:sz w:val="22"/>
        </w:rPr>
      </w:pPr>
      <w:bookmarkStart w:name="Articolo 2" w:id="3"/>
      <w:bookmarkEnd w:id="3"/>
      <w:r>
        <w:rPr/>
      </w:r>
      <w:r>
        <w:rPr>
          <w:b/>
          <w:sz w:val="22"/>
        </w:rPr>
        <w:t>Articolo</w:t>
      </w:r>
      <w:r>
        <w:rPr>
          <w:b/>
          <w:spacing w:val="-8"/>
          <w:sz w:val="22"/>
        </w:rPr>
        <w:t> </w:t>
      </w:r>
      <w:r>
        <w:rPr>
          <w:b/>
          <w:spacing w:val="-10"/>
          <w:sz w:val="22"/>
        </w:rPr>
        <w:t>2</w:t>
      </w:r>
    </w:p>
    <w:p>
      <w:pPr>
        <w:pStyle w:val="BodyText"/>
        <w:spacing w:before="2"/>
        <w:jc w:val="left"/>
        <w:rPr>
          <w:b/>
          <w:sz w:val="22"/>
        </w:rPr>
      </w:pPr>
    </w:p>
    <w:p>
      <w:pPr>
        <w:pStyle w:val="BodyText"/>
        <w:ind w:left="1" w:right="144"/>
        <w:rPr>
          <w:sz w:val="22"/>
        </w:rPr>
      </w:pPr>
      <w:r>
        <w:rPr/>
        <w:t>Il beneficiario sin d’ora, accetta che nel caso di mancato rispetto degli impegni anticorruzione assunti con il presente Patto d’integrità, comunque accertato dalla Fondazione LFC, dovranno essere applicate le sanzioni della esclusione dal bando o la sua risoluzione</w:t>
      </w:r>
      <w:r>
        <w:rPr>
          <w:sz w:val="22"/>
        </w:rPr>
        <w:t>.</w:t>
      </w:r>
    </w:p>
    <w:p>
      <w:pPr>
        <w:spacing w:before="217"/>
        <w:ind w:left="0" w:right="133" w:firstLine="0"/>
        <w:jc w:val="center"/>
        <w:rPr>
          <w:b/>
          <w:sz w:val="22"/>
        </w:rPr>
      </w:pPr>
      <w:bookmarkStart w:name="Articolo 3" w:id="4"/>
      <w:bookmarkEnd w:id="4"/>
      <w:r>
        <w:rPr/>
      </w:r>
      <w:r>
        <w:rPr>
          <w:b/>
          <w:sz w:val="22"/>
        </w:rPr>
        <w:t>Articolo</w:t>
      </w:r>
      <w:r>
        <w:rPr>
          <w:b/>
          <w:spacing w:val="-8"/>
          <w:sz w:val="22"/>
        </w:rPr>
        <w:t> </w:t>
      </w:r>
      <w:r>
        <w:rPr>
          <w:b/>
          <w:spacing w:val="-10"/>
          <w:sz w:val="22"/>
        </w:rPr>
        <w:t>3</w:t>
      </w:r>
    </w:p>
    <w:p>
      <w:pPr>
        <w:pStyle w:val="BodyText"/>
        <w:spacing w:before="228"/>
        <w:ind w:left="1" w:right="143"/>
      </w:pPr>
      <w:r>
        <w:rPr/>
        <w:t>La Fondazione LFC si obbliga a rispettare i principi di lealtà, trasparenza e correttezza e ad attivare i procedimenti disciplinari nei confronti del personale a vario titolo intervenuto nell’affidamento e nell’esecuzione del contratto in caso di violazione di detti principi e, in particolare, qualora – con riguardo all’affidamento ed esecuzione dello stesso - riscontri violazioni alle disposizioni del D.P.R 16 aprile 2013, n. 62.</w:t>
      </w:r>
    </w:p>
    <w:p>
      <w:pPr>
        <w:pStyle w:val="BodyText"/>
        <w:spacing w:before="216"/>
        <w:jc w:val="left"/>
      </w:pPr>
    </w:p>
    <w:p>
      <w:pPr>
        <w:spacing w:before="0"/>
        <w:ind w:left="0" w:right="133" w:firstLine="0"/>
        <w:jc w:val="center"/>
        <w:rPr>
          <w:b/>
          <w:sz w:val="22"/>
        </w:rPr>
      </w:pPr>
      <w:bookmarkStart w:name="Articolo 4" w:id="5"/>
      <w:bookmarkEnd w:id="5"/>
      <w:r>
        <w:rPr/>
      </w:r>
      <w:r>
        <w:rPr>
          <w:b/>
          <w:sz w:val="22"/>
        </w:rPr>
        <w:t>Articolo</w:t>
      </w:r>
      <w:r>
        <w:rPr>
          <w:b/>
          <w:spacing w:val="-8"/>
          <w:sz w:val="22"/>
        </w:rPr>
        <w:t> </w:t>
      </w:r>
      <w:r>
        <w:rPr>
          <w:b/>
          <w:spacing w:val="-10"/>
          <w:sz w:val="22"/>
        </w:rPr>
        <w:t>4</w:t>
      </w:r>
    </w:p>
    <w:p>
      <w:pPr>
        <w:pStyle w:val="BodyText"/>
        <w:spacing w:before="217"/>
        <w:ind w:left="1" w:right="150"/>
      </w:pPr>
      <w:r>
        <w:rPr/>
        <w:t>Il contenuto del Patto d’integrità resterà in vigore sino alla completa esecuzione dell’oggetto del bando. Il presente Patto dovrà essere richiamato dal bando quale parte integrante, sostanziale e pattizia dello stesso.</w:t>
      </w:r>
    </w:p>
    <w:p>
      <w:pPr>
        <w:pStyle w:val="BodyText"/>
        <w:jc w:val="left"/>
      </w:pPr>
    </w:p>
    <w:p>
      <w:pPr>
        <w:pStyle w:val="BodyText"/>
        <w:jc w:val="left"/>
      </w:pPr>
    </w:p>
    <w:p>
      <w:pPr>
        <w:pStyle w:val="BodyText"/>
        <w:spacing w:before="216"/>
        <w:jc w:val="left"/>
      </w:pPr>
    </w:p>
    <w:p>
      <w:pPr>
        <w:pStyle w:val="BodyText"/>
        <w:ind w:left="1"/>
      </w:pPr>
      <w:r>
        <w:rPr/>
        <w:t>luogo………………,</w:t>
      </w:r>
      <w:r>
        <w:rPr>
          <w:spacing w:val="-13"/>
        </w:rPr>
        <w:t> </w:t>
      </w:r>
      <w:r>
        <w:rPr>
          <w:spacing w:val="-2"/>
        </w:rPr>
        <w:t>data…………………..</w:t>
      </w:r>
    </w:p>
    <w:p>
      <w:pPr>
        <w:pStyle w:val="BodyText"/>
        <w:tabs>
          <w:tab w:pos="5552" w:val="left" w:leader="none"/>
        </w:tabs>
        <w:spacing w:before="217"/>
        <w:ind w:left="1"/>
      </w:pPr>
      <w:r>
        <w:rPr/>
        <w:t>Per</w:t>
      </w:r>
      <w:r>
        <w:rPr>
          <w:spacing w:val="-4"/>
        </w:rPr>
        <w:t> </w:t>
      </w:r>
      <w:r>
        <w:rPr/>
        <w:t>la</w:t>
      </w:r>
      <w:r>
        <w:rPr>
          <w:spacing w:val="-4"/>
        </w:rPr>
        <w:t> </w:t>
      </w:r>
      <w:r>
        <w:rPr/>
        <w:t>Lucana</w:t>
      </w:r>
      <w:r>
        <w:rPr>
          <w:spacing w:val="-4"/>
        </w:rPr>
        <w:t> </w:t>
      </w:r>
      <w:r>
        <w:rPr/>
        <w:t>Film</w:t>
      </w:r>
      <w:r>
        <w:rPr>
          <w:spacing w:val="-3"/>
        </w:rPr>
        <w:t> </w:t>
      </w:r>
      <w:r>
        <w:rPr>
          <w:spacing w:val="-2"/>
        </w:rPr>
        <w:t>Commission………………………</w:t>
      </w:r>
      <w:r>
        <w:rPr/>
        <w:tab/>
        <w:t>Per</w:t>
      </w:r>
      <w:r>
        <w:rPr>
          <w:spacing w:val="-5"/>
        </w:rPr>
        <w:t> </w:t>
      </w:r>
      <w:r>
        <w:rPr/>
        <w:t>il</w:t>
      </w:r>
      <w:r>
        <w:rPr>
          <w:spacing w:val="-2"/>
        </w:rPr>
        <w:t> Beneficiario……………………………………</w:t>
      </w:r>
    </w:p>
    <w:sectPr>
      <w:type w:val="continuous"/>
      <w:pgSz w:w="11910" w:h="16840"/>
      <w:pgMar w:top="700" w:bottom="28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1" w:hanging="360"/>
        <w:jc w:val="left"/>
      </w:pPr>
      <w:rPr>
        <w:rFonts w:hint="default" w:ascii="Tahoma" w:hAnsi="Tahoma" w:eastAsia="Tahoma" w:cs="Tahoma"/>
        <w:b w:val="0"/>
        <w:bCs w:val="0"/>
        <w:i w:val="0"/>
        <w:iCs w:val="0"/>
        <w:spacing w:val="-1"/>
        <w:w w:val="100"/>
        <w:sz w:val="22"/>
        <w:szCs w:val="22"/>
        <w:lang w:val="it-IT" w:eastAsia="en-US" w:bidi="ar-SA"/>
      </w:rPr>
    </w:lvl>
    <w:lvl w:ilvl="1">
      <w:start w:val="0"/>
      <w:numFmt w:val="bullet"/>
      <w:lvlText w:val="•"/>
      <w:lvlJc w:val="left"/>
      <w:pPr>
        <w:ind w:left="1302" w:hanging="360"/>
      </w:pPr>
      <w:rPr>
        <w:rFonts w:hint="default"/>
        <w:lang w:val="it-IT" w:eastAsia="en-US" w:bidi="ar-SA"/>
      </w:rPr>
    </w:lvl>
    <w:lvl w:ilvl="2">
      <w:start w:val="0"/>
      <w:numFmt w:val="bullet"/>
      <w:lvlText w:val="•"/>
      <w:lvlJc w:val="left"/>
      <w:pPr>
        <w:ind w:left="2244" w:hanging="360"/>
      </w:pPr>
      <w:rPr>
        <w:rFonts w:hint="default"/>
        <w:lang w:val="it-IT" w:eastAsia="en-US" w:bidi="ar-SA"/>
      </w:rPr>
    </w:lvl>
    <w:lvl w:ilvl="3">
      <w:start w:val="0"/>
      <w:numFmt w:val="bullet"/>
      <w:lvlText w:val="•"/>
      <w:lvlJc w:val="left"/>
      <w:pPr>
        <w:ind w:left="3186" w:hanging="360"/>
      </w:pPr>
      <w:rPr>
        <w:rFonts w:hint="default"/>
        <w:lang w:val="it-IT" w:eastAsia="en-US" w:bidi="ar-SA"/>
      </w:rPr>
    </w:lvl>
    <w:lvl w:ilvl="4">
      <w:start w:val="0"/>
      <w:numFmt w:val="bullet"/>
      <w:lvlText w:val="•"/>
      <w:lvlJc w:val="left"/>
      <w:pPr>
        <w:ind w:left="4128" w:hanging="360"/>
      </w:pPr>
      <w:rPr>
        <w:rFonts w:hint="default"/>
        <w:lang w:val="it-IT" w:eastAsia="en-US" w:bidi="ar-SA"/>
      </w:rPr>
    </w:lvl>
    <w:lvl w:ilvl="5">
      <w:start w:val="0"/>
      <w:numFmt w:val="bullet"/>
      <w:lvlText w:val="•"/>
      <w:lvlJc w:val="left"/>
      <w:pPr>
        <w:ind w:left="5070" w:hanging="360"/>
      </w:pPr>
      <w:rPr>
        <w:rFonts w:hint="default"/>
        <w:lang w:val="it-IT" w:eastAsia="en-US" w:bidi="ar-SA"/>
      </w:rPr>
    </w:lvl>
    <w:lvl w:ilvl="6">
      <w:start w:val="0"/>
      <w:numFmt w:val="bullet"/>
      <w:lvlText w:val="•"/>
      <w:lvlJc w:val="left"/>
      <w:pPr>
        <w:ind w:left="6012" w:hanging="360"/>
      </w:pPr>
      <w:rPr>
        <w:rFonts w:hint="default"/>
        <w:lang w:val="it-IT" w:eastAsia="en-US" w:bidi="ar-SA"/>
      </w:rPr>
    </w:lvl>
    <w:lvl w:ilvl="7">
      <w:start w:val="0"/>
      <w:numFmt w:val="bullet"/>
      <w:lvlText w:val="•"/>
      <w:lvlJc w:val="left"/>
      <w:pPr>
        <w:ind w:left="6954" w:hanging="360"/>
      </w:pPr>
      <w:rPr>
        <w:rFonts w:hint="default"/>
        <w:lang w:val="it-IT" w:eastAsia="en-US" w:bidi="ar-SA"/>
      </w:rPr>
    </w:lvl>
    <w:lvl w:ilvl="8">
      <w:start w:val="0"/>
      <w:numFmt w:val="bullet"/>
      <w:lvlText w:val="•"/>
      <w:lvlJc w:val="left"/>
      <w:pPr>
        <w:ind w:left="7896"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it-IT" w:eastAsia="en-US" w:bidi="ar-SA"/>
    </w:rPr>
  </w:style>
  <w:style w:styleId="BodyText" w:type="paragraph">
    <w:name w:val="Body Text"/>
    <w:basedOn w:val="Normal"/>
    <w:uiPriority w:val="1"/>
    <w:qFormat/>
    <w:pPr>
      <w:jc w:val="both"/>
    </w:pPr>
    <w:rPr>
      <w:rFonts w:ascii="Tahoma" w:hAnsi="Tahoma" w:eastAsia="Tahoma" w:cs="Tahoma"/>
      <w:sz w:val="18"/>
      <w:szCs w:val="18"/>
      <w:lang w:val="it-IT" w:eastAsia="en-US" w:bidi="ar-SA"/>
    </w:rPr>
  </w:style>
  <w:style w:styleId="ListParagraph" w:type="paragraph">
    <w:name w:val="List Paragraph"/>
    <w:basedOn w:val="Normal"/>
    <w:uiPriority w:val="1"/>
    <w:qFormat/>
    <w:pPr>
      <w:ind w:left="361" w:right="142" w:hanging="360"/>
      <w:jc w:val="both"/>
    </w:pPr>
    <w:rPr>
      <w:rFonts w:ascii="Tahoma" w:hAnsi="Tahoma" w:eastAsia="Tahoma" w:cs="Tahoma"/>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Mastroluisi Pietro</dc:creator>
  <dcterms:created xsi:type="dcterms:W3CDTF">2025-02-11T14:03:12Z</dcterms:created>
  <dcterms:modified xsi:type="dcterms:W3CDTF">2025-02-11T14:03:12Z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2025-01-16T00:00:00Z</vt:filetime>
  </property>
</Properties>
</file>